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6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46"/>
          <w:sz w:val="32"/>
          <w:szCs w:val="32"/>
          <w:lang w:val="en-US" w:eastAsia="zh-CN"/>
        </w:rPr>
        <w:t>1</w:t>
      </w:r>
    </w:p>
    <w:p>
      <w:pPr>
        <w:spacing w:before="303" w:line="239" w:lineRule="auto"/>
        <w:ind w:firstLine="3807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  <w:lang w:val="en-US" w:eastAsia="zh-CN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消防设计审查案卷程序审查表</w:t>
      </w:r>
    </w:p>
    <w:p>
      <w:pPr>
        <w:spacing w:before="227" w:line="219" w:lineRule="auto"/>
        <w:ind w:firstLine="136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-29"/>
          <w:w w:val="97"/>
          <w:sz w:val="30"/>
          <w:szCs w:val="30"/>
          <w:lang w:eastAsia="zh-CN"/>
        </w:rPr>
        <w:t>工</w:t>
      </w:r>
      <w:r>
        <w:rPr>
          <w:rFonts w:ascii="仿宋" w:hAnsi="仿宋" w:eastAsia="仿宋" w:cs="仿宋"/>
          <w:spacing w:val="-29"/>
          <w:w w:val="97"/>
          <w:sz w:val="30"/>
          <w:szCs w:val="30"/>
        </w:rPr>
        <w:t>程项目：</w:t>
      </w:r>
      <w:r>
        <w:rPr>
          <w:rFonts w:hint="eastAsia" w:ascii="仿宋" w:hAnsi="仿宋" w:eastAsia="仿宋" w:cs="仿宋"/>
          <w:spacing w:val="-29"/>
          <w:w w:val="97"/>
          <w:sz w:val="30"/>
          <w:szCs w:val="30"/>
          <w:lang w:val="en-US" w:eastAsia="zh-CN"/>
        </w:rPr>
        <w:t xml:space="preserve">                                                                      </w:t>
      </w:r>
      <w:r>
        <w:rPr>
          <w:rFonts w:ascii="仿宋" w:hAnsi="仿宋" w:eastAsia="仿宋" w:cs="仿宋"/>
          <w:spacing w:val="136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pacing w:val="136"/>
          <w:sz w:val="30"/>
          <w:szCs w:val="30"/>
          <w:lang w:val="en-US" w:eastAsia="zh-CN"/>
        </w:rPr>
        <w:t xml:space="preserve">  </w:t>
      </w:r>
      <w:r>
        <w:rPr>
          <w:rFonts w:ascii="仿宋" w:hAnsi="仿宋" w:eastAsia="仿宋" w:cs="仿宋"/>
          <w:spacing w:val="-29"/>
          <w:w w:val="97"/>
          <w:sz w:val="30"/>
          <w:szCs w:val="30"/>
        </w:rPr>
        <w:t>日期：</w:t>
      </w:r>
    </w:p>
    <w:p>
      <w:pPr>
        <w:spacing w:line="109" w:lineRule="exact"/>
      </w:pPr>
    </w:p>
    <w:tbl>
      <w:tblPr>
        <w:tblStyle w:val="2"/>
        <w:tblW w:w="141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5951"/>
        <w:gridCol w:w="61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073" w:type="dxa"/>
            <w:vAlign w:val="center"/>
          </w:tcPr>
          <w:p>
            <w:pPr>
              <w:spacing w:before="150" w:line="224" w:lineRule="auto"/>
              <w:ind w:right="-235" w:rightChars="-112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评查内容</w:t>
            </w:r>
          </w:p>
        </w:tc>
        <w:tc>
          <w:tcPr>
            <w:tcW w:w="5951" w:type="dxa"/>
            <w:vAlign w:val="center"/>
          </w:tcPr>
          <w:p>
            <w:pPr>
              <w:spacing w:before="150" w:line="224" w:lineRule="auto"/>
              <w:ind w:right="-235" w:rightChars="-112" w:firstLine="124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基本情况</w:t>
            </w:r>
          </w:p>
        </w:tc>
        <w:tc>
          <w:tcPr>
            <w:tcW w:w="6157" w:type="dxa"/>
            <w:vAlign w:val="center"/>
          </w:tcPr>
          <w:p>
            <w:pPr>
              <w:spacing w:before="151" w:line="221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207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6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1.建设单位申请消防设计审查有关材料的真实性、准确性、一致性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4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4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auto"/>
              <w:ind w:left="105" w:leftChars="50" w:right="105" w:rightChars="50" w:firstLine="419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3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4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1" w:lineRule="auto"/>
              <w:ind w:left="105" w:leftChars="50" w:right="105" w:rightChars="50" w:firstLine="209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建设单位与建设单位合法身份证明文件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是否相符</w:t>
            </w:r>
          </w:p>
        </w:tc>
        <w:tc>
          <w:tcPr>
            <w:tcW w:w="6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0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70" w:lineRule="auto"/>
              <w:ind w:left="105" w:leftChars="50" w:right="105" w:rightChars="50" w:firstLine="1"/>
              <w:jc w:val="center"/>
              <w:textAlignment w:val="baseline"/>
            </w:pPr>
          </w:p>
        </w:tc>
        <w:tc>
          <w:tcPr>
            <w:tcW w:w="5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属于住建部令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51号中规定的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消防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审查范围</w:t>
            </w:r>
          </w:p>
        </w:tc>
        <w:tc>
          <w:tcPr>
            <w:tcW w:w="6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70" w:lineRule="auto"/>
              <w:ind w:left="105" w:leftChars="50" w:right="105" w:rightChars="50" w:firstLine="1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20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auto"/>
              <w:ind w:left="105" w:leftChars="50" w:right="105" w:rightChars="50" w:firstLine="419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center"/>
              <w:textAlignment w:val="baseline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申请表与建设工程规划许可证有关建筑经济技术指标（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建设工程名称、地址、使用性</w:t>
            </w: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质、建设规模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）是否一致、齐全</w:t>
            </w:r>
          </w:p>
        </w:tc>
        <w:tc>
          <w:tcPr>
            <w:tcW w:w="6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  <w:jc w:val="center"/>
        </w:trPr>
        <w:tc>
          <w:tcPr>
            <w:tcW w:w="20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上传的消防设计文件编制顺序、深度（包括经规划主管部门审批的建筑总平面图）是否规范</w:t>
            </w:r>
          </w:p>
        </w:tc>
        <w:tc>
          <w:tcPr>
            <w:tcW w:w="6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207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1" w:lineRule="auto"/>
              <w:ind w:left="105" w:leftChars="50" w:right="105" w:rightChars="50" w:firstLine="209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消防技术审查报告适用的消防技术标准是否正确</w:t>
            </w:r>
          </w:p>
        </w:tc>
        <w:tc>
          <w:tcPr>
            <w:tcW w:w="615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" w:lineRule="exact"/>
        <w:ind w:left="105" w:leftChars="50" w:right="105" w:rightChars="5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" w:lineRule="exact"/>
        <w:ind w:left="105" w:leftChars="50" w:right="105" w:rightChars="50"/>
        <w:textAlignment w:val="baseline"/>
      </w:pPr>
    </w:p>
    <w:tbl>
      <w:tblPr>
        <w:tblStyle w:val="2"/>
        <w:tblW w:w="141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5945"/>
        <w:gridCol w:w="61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  <w:jc w:val="center"/>
        </w:trPr>
        <w:tc>
          <w:tcPr>
            <w:tcW w:w="2103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9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105" w:leftChars="50" w:right="105" w:rightChars="50"/>
              <w:jc w:val="both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0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审批部门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审批程序、办理时限、法律文书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填发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等合规性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23" w:lineRule="auto"/>
              <w:ind w:left="105" w:leftChars="50" w:right="105" w:rightChars="50" w:firstLine="74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6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1" w:lineRule="auto"/>
              <w:ind w:left="105" w:leftChars="50" w:right="105" w:rightChars="50" w:firstLine="533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符合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市县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审验权限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划分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要求</w:t>
            </w:r>
          </w:p>
        </w:tc>
        <w:tc>
          <w:tcPr>
            <w:tcW w:w="61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审批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是否在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法定时限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内办结（对应受理凭证、消防审查意见书签发时间）</w:t>
            </w:r>
          </w:p>
        </w:tc>
        <w:tc>
          <w:tcPr>
            <w:tcW w:w="61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审查意见书适用的消防技术标准是否准确</w:t>
            </w:r>
          </w:p>
        </w:tc>
        <w:tc>
          <w:tcPr>
            <w:tcW w:w="61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审查意见书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结论性意见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明确</w:t>
            </w:r>
          </w:p>
        </w:tc>
        <w:tc>
          <w:tcPr>
            <w:tcW w:w="61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档案是否规范、完整</w:t>
            </w:r>
          </w:p>
        </w:tc>
        <w:tc>
          <w:tcPr>
            <w:tcW w:w="61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161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是否存在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应当经过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专家评审、防火论证、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专家技术审查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，而未按规定要求进行的情况</w:t>
            </w:r>
          </w:p>
        </w:tc>
        <w:tc>
          <w:tcPr>
            <w:tcW w:w="61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210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存在未经消防设计审查或经审查不合格擅自施工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等违法行为未及时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依法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处罚的情形</w:t>
            </w:r>
          </w:p>
        </w:tc>
        <w:tc>
          <w:tcPr>
            <w:tcW w:w="613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textAlignment w:val="baseline"/>
        <w:sectPr>
          <w:pgSz w:w="16839" w:h="11907"/>
          <w:pgMar w:top="1012" w:right="1324" w:bottom="0" w:left="1327" w:header="0" w:footer="0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textAlignment w:val="baseline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  <w:pict>
          <v:rect id="Rectangle 2" o:spid="_x0000_s1026" o:spt="1" style="position:absolute;left:0pt;margin-left:841.7pt;margin-top:0pt;height:32.2pt;width:0.5pt;mso-position-horizontal-relative:page;mso-position-vertical-relative:page;z-index:251659264;mso-width-relative:page;mso-height-relative:page;" fillcolor="#000000" filled="t" o:preferrelative="t" stroked="f" coordsize="21600,21600" o:allowincell="f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rect>
        </w:pi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10" w:lineRule="exact"/>
        <w:ind w:left="105" w:leftChars="50" w:right="105" w:rightChars="50"/>
        <w:textAlignment w:val="baseline"/>
      </w:pPr>
    </w:p>
    <w:tbl>
      <w:tblPr>
        <w:tblStyle w:val="2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5198"/>
        <w:gridCol w:w="68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211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1" w:lineRule="auto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3.住建主管部门使用专家合规性及劳务报酬支出情况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87" w:lineRule="auto"/>
              <w:ind w:left="528" w:leftChars="50" w:right="105" w:rightChars="50" w:hanging="423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被抽查项目的专家报酬劳务支出的财务手续</w:t>
            </w:r>
          </w:p>
        </w:tc>
        <w:tc>
          <w:tcPr>
            <w:tcW w:w="6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211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220" w:lineRule="auto"/>
              <w:ind w:left="105" w:leftChars="50" w:right="105" w:rightChars="50" w:firstLine="735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付款记录</w:t>
            </w:r>
          </w:p>
        </w:tc>
        <w:tc>
          <w:tcPr>
            <w:tcW w:w="6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11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半年度专家报酬支出总体情况</w:t>
            </w:r>
          </w:p>
        </w:tc>
        <w:tc>
          <w:tcPr>
            <w:tcW w:w="6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118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19" w:lineRule="auto"/>
              <w:ind w:left="105" w:leftChars="50" w:right="105" w:rightChars="50" w:firstLine="431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51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 w:firstLine="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其他内容</w:t>
            </w:r>
          </w:p>
        </w:tc>
        <w:tc>
          <w:tcPr>
            <w:tcW w:w="686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41" w:lineRule="auto"/>
        <w:ind w:left="105" w:leftChars="50" w:right="105" w:rightChars="50"/>
        <w:textAlignment w:val="baseline"/>
        <w:rPr>
          <w:rFonts w:ascii="Arial"/>
          <w:sz w:val="21"/>
        </w:rPr>
      </w:pPr>
    </w:p>
    <w:p>
      <w:pPr>
        <w:spacing w:before="97" w:line="216" w:lineRule="auto"/>
        <w:ind w:firstLine="1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检查人员签字：</w:t>
      </w:r>
      <w:bookmarkStart w:id="0" w:name="_GoBack"/>
      <w:bookmarkEnd w:id="0"/>
    </w:p>
    <w:sectPr>
      <w:pgSz w:w="16839" w:h="11907"/>
      <w:pgMar w:top="0" w:right="0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RlZTNmMmYzY2VhZWU3YzdiMjY5NjI1YmM4YjJjOTIifQ=="/>
  </w:docVars>
  <w:rsids>
    <w:rsidRoot w:val="00000000"/>
    <w:rsid w:val="0286506C"/>
    <w:rsid w:val="1ABF39D8"/>
    <w:rsid w:val="1F69300F"/>
    <w:rsid w:val="25E20BC0"/>
    <w:rsid w:val="35DF4AF1"/>
    <w:rsid w:val="3CFEF05C"/>
    <w:rsid w:val="3E071162"/>
    <w:rsid w:val="5DEF9670"/>
    <w:rsid w:val="5F8D0664"/>
    <w:rsid w:val="5FFFA792"/>
    <w:rsid w:val="6BFB828B"/>
    <w:rsid w:val="6F5FE2D6"/>
    <w:rsid w:val="77B54320"/>
    <w:rsid w:val="7BFF5F14"/>
    <w:rsid w:val="7C7DC135"/>
    <w:rsid w:val="7EBE13BF"/>
    <w:rsid w:val="7EFF7B6A"/>
    <w:rsid w:val="7F9767EE"/>
    <w:rsid w:val="7FAB1BD8"/>
    <w:rsid w:val="7FF17BB0"/>
    <w:rsid w:val="7FF3BB0E"/>
    <w:rsid w:val="9CCFF2DE"/>
    <w:rsid w:val="B7F1A049"/>
    <w:rsid w:val="BFEFFFEE"/>
    <w:rsid w:val="C37D6B64"/>
    <w:rsid w:val="C71CBB30"/>
    <w:rsid w:val="C7DECD42"/>
    <w:rsid w:val="E7BDBA55"/>
    <w:rsid w:val="EDFA542D"/>
    <w:rsid w:val="EF355EC6"/>
    <w:rsid w:val="FAA7C0C8"/>
    <w:rsid w:val="FFCFC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481</Words>
  <Characters>485</Characters>
  <Lines>0</Lines>
  <Paragraphs>0</Paragraphs>
  <TotalTime>8</TotalTime>
  <ScaleCrop>false</ScaleCrop>
  <LinksUpToDate>false</LinksUpToDate>
  <CharactersWithSpaces>561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2021-07-10T09:10:00Z</dcterms:created>
  <dc:creator>ZRL</dc:creator>
  <cp:lastModifiedBy>张佳雨</cp:lastModifiedBy>
  <dcterms:modified xsi:type="dcterms:W3CDTF">2022-06-22T08:00:33Z</dcterms:modified>
  <dc:title>附件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2027-06-13T16:44:00Z</vt:filetime>
  </property>
  <property fmtid="{D5CDD505-2E9C-101B-9397-08002B2CF9AE}" pid="4" name="KSOProductBuildVer">
    <vt:lpwstr>2052-11.1.0.11744</vt:lpwstr>
  </property>
  <property fmtid="{D5CDD505-2E9C-101B-9397-08002B2CF9AE}" pid="5" name="ICV">
    <vt:lpwstr>25B0518878DA4C419DBB8F5308677EF5</vt:lpwstr>
  </property>
</Properties>
</file>